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00" w:rsidRPr="00226EC8" w:rsidRDefault="00816A00" w:rsidP="00816A00">
      <w:pPr>
        <w:jc w:val="center"/>
        <w:rPr>
          <w:rFonts w:cs="Arial"/>
          <w:b/>
          <w:bCs/>
          <w:sz w:val="20"/>
          <w:szCs w:val="20"/>
          <w:lang w:val="en-GB"/>
        </w:rPr>
      </w:pPr>
      <w:bookmarkStart w:id="0" w:name="_Hlk95213528"/>
      <w:r w:rsidRPr="00226EC8">
        <w:rPr>
          <w:rFonts w:cs="Arial"/>
          <w:b/>
          <w:bCs/>
          <w:sz w:val="20"/>
          <w:szCs w:val="20"/>
          <w:lang w:val="en-GB"/>
        </w:rPr>
        <w:t>UNITED REPUBLIC OF TANZANIA</w:t>
      </w:r>
    </w:p>
    <w:p w:rsidR="00816A00" w:rsidRPr="00226EC8" w:rsidRDefault="00816A00" w:rsidP="00816A00">
      <w:pPr>
        <w:jc w:val="center"/>
        <w:rPr>
          <w:rFonts w:cs="Arial"/>
          <w:b/>
          <w:bCs/>
          <w:sz w:val="20"/>
          <w:szCs w:val="20"/>
          <w:lang w:val="en-GB"/>
        </w:rPr>
      </w:pPr>
      <w:bookmarkStart w:id="1" w:name="_Hlk95213481"/>
      <w:r w:rsidRPr="00226EC8">
        <w:rPr>
          <w:rFonts w:cs="Arial"/>
          <w:b/>
          <w:bCs/>
          <w:sz w:val="20"/>
          <w:szCs w:val="20"/>
          <w:lang w:val="en-GB"/>
        </w:rPr>
        <w:t>PRIME MINISTER’S OFFICE</w:t>
      </w:r>
    </w:p>
    <w:p w:rsidR="00816A00" w:rsidRPr="00857357" w:rsidRDefault="00816A00" w:rsidP="00857357">
      <w:pPr>
        <w:jc w:val="center"/>
        <w:rPr>
          <w:rFonts w:cs="Arial"/>
          <w:b/>
          <w:bCs/>
          <w:sz w:val="20"/>
          <w:szCs w:val="20"/>
          <w:lang w:val="en-GB"/>
        </w:rPr>
      </w:pPr>
      <w:r w:rsidRPr="00226EC8">
        <w:rPr>
          <w:rFonts w:cs="Arial"/>
          <w:b/>
          <w:bCs/>
          <w:sz w:val="20"/>
          <w:szCs w:val="20"/>
          <w:lang w:val="en-GB"/>
        </w:rPr>
        <w:t>POLICY, PARLIAMENT AND COORDINATION</w:t>
      </w:r>
      <w:bookmarkStart w:id="2" w:name="_Hlk95213415"/>
      <w:bookmarkEnd w:id="0"/>
      <w:bookmarkEnd w:id="1"/>
      <w:r w:rsidRPr="00226EC8">
        <w:rPr>
          <w:rFonts w:cs="Arial"/>
          <w:sz w:val="20"/>
          <w:szCs w:val="20"/>
          <w:lang w:val="en-GB"/>
        </w:rPr>
        <w:t xml:space="preserve">                                                                                            </w:t>
      </w:r>
      <w:bookmarkEnd w:id="2"/>
    </w:p>
    <w:p w:rsidR="00816A00" w:rsidRPr="00226EC8" w:rsidRDefault="00816A00" w:rsidP="00816A00">
      <w:pPr>
        <w:jc w:val="center"/>
        <w:rPr>
          <w:rFonts w:cs="Arial"/>
          <w:sz w:val="20"/>
          <w:szCs w:val="20"/>
          <w:lang w:val="en-GB"/>
        </w:rPr>
      </w:pPr>
      <w:r w:rsidRPr="00226EC8">
        <w:rPr>
          <w:rFonts w:cs="Arial"/>
          <w:noProof/>
          <w:sz w:val="20"/>
          <w:szCs w:val="20"/>
        </w:rPr>
        <w:drawing>
          <wp:anchor distT="0" distB="0" distL="114300" distR="114300" simplePos="0" relativeHeight="251659264" behindDoc="0" locked="0" layoutInCell="1" allowOverlap="1" wp14:anchorId="6C4380E0" wp14:editId="74B3F09B">
            <wp:simplePos x="0" y="0"/>
            <wp:positionH relativeFrom="margin">
              <wp:posOffset>4638675</wp:posOffset>
            </wp:positionH>
            <wp:positionV relativeFrom="paragraph">
              <wp:posOffset>16510</wp:posOffset>
            </wp:positionV>
            <wp:extent cx="1575435" cy="802640"/>
            <wp:effectExtent l="0" t="0" r="5715" b="0"/>
            <wp:wrapNone/>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drawing, f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54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EC8">
        <w:rPr>
          <w:b/>
          <w:i/>
          <w:noProof/>
          <w:sz w:val="20"/>
          <w:szCs w:val="20"/>
        </w:rPr>
        <w:drawing>
          <wp:anchor distT="0" distB="0" distL="114300" distR="114300" simplePos="0" relativeHeight="251660288" behindDoc="0" locked="0" layoutInCell="1" allowOverlap="1" wp14:anchorId="3622656B" wp14:editId="60997E21">
            <wp:simplePos x="0" y="0"/>
            <wp:positionH relativeFrom="column">
              <wp:posOffset>593090</wp:posOffset>
            </wp:positionH>
            <wp:positionV relativeFrom="paragraph">
              <wp:posOffset>10795</wp:posOffset>
            </wp:positionV>
            <wp:extent cx="951230" cy="1005205"/>
            <wp:effectExtent l="0" t="0" r="1270" b="4445"/>
            <wp:wrapNone/>
            <wp:docPr id="5" name="Picture 5" descr="TZ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Z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A00" w:rsidRPr="00226EC8" w:rsidRDefault="00816A00" w:rsidP="00816A00">
      <w:pPr>
        <w:jc w:val="center"/>
        <w:rPr>
          <w:rFonts w:cs="Arial"/>
          <w:b/>
          <w:i/>
          <w:sz w:val="20"/>
          <w:szCs w:val="20"/>
          <w:lang w:val="en-GB"/>
        </w:rPr>
      </w:pPr>
    </w:p>
    <w:p w:rsidR="00816A00" w:rsidRPr="00226EC8" w:rsidRDefault="00816A00" w:rsidP="00816A00">
      <w:pPr>
        <w:jc w:val="center"/>
        <w:rPr>
          <w:rFonts w:cs="Arial"/>
          <w:b/>
          <w:i/>
          <w:sz w:val="20"/>
          <w:szCs w:val="20"/>
          <w:lang w:val="en-GB"/>
        </w:rPr>
      </w:pPr>
      <w:r w:rsidRPr="00226EC8">
        <w:rPr>
          <w:rFonts w:cs="Arial"/>
          <w:b/>
          <w:i/>
          <w:sz w:val="20"/>
          <w:szCs w:val="20"/>
          <w:lang w:val="en-GB"/>
        </w:rPr>
        <w:t xml:space="preserve">      </w:t>
      </w:r>
    </w:p>
    <w:p w:rsidR="00816A00" w:rsidRPr="00226EC8" w:rsidRDefault="00816A00" w:rsidP="00816A00">
      <w:pPr>
        <w:tabs>
          <w:tab w:val="left" w:pos="0"/>
        </w:tabs>
        <w:spacing w:line="960" w:lineRule="exact"/>
        <w:rPr>
          <w:rFonts w:asciiTheme="minorBidi" w:hAnsiTheme="minorBidi" w:cstheme="minorBidi"/>
          <w:sz w:val="20"/>
          <w:szCs w:val="20"/>
        </w:rPr>
      </w:pPr>
    </w:p>
    <w:p w:rsidR="00816A00" w:rsidRPr="00226EC8" w:rsidRDefault="00816A00" w:rsidP="00816A00">
      <w:pPr>
        <w:jc w:val="center"/>
        <w:rPr>
          <w:rFonts w:cs="Arial"/>
          <w:b/>
          <w:i/>
          <w:sz w:val="20"/>
          <w:szCs w:val="20"/>
          <w:lang w:val="en-GB"/>
        </w:rPr>
      </w:pPr>
      <w:r w:rsidRPr="00226EC8">
        <w:rPr>
          <w:rFonts w:cs="Arial"/>
          <w:b/>
          <w:i/>
          <w:sz w:val="20"/>
          <w:szCs w:val="20"/>
          <w:lang w:val="en-GB"/>
        </w:rPr>
        <w:t>PROJECT NO. 4429</w:t>
      </w:r>
    </w:p>
    <w:p w:rsidR="00816A00" w:rsidRPr="00DF7D7E" w:rsidRDefault="00816A00" w:rsidP="00816A00">
      <w:pPr>
        <w:jc w:val="center"/>
        <w:rPr>
          <w:rFonts w:cs="Arial"/>
          <w:b/>
          <w:i/>
          <w:lang w:val="en-GB"/>
        </w:rPr>
      </w:pPr>
    </w:p>
    <w:p w:rsidR="00F303A3" w:rsidRPr="00816A00" w:rsidRDefault="00F303A3" w:rsidP="00816A00">
      <w:pPr>
        <w:pStyle w:val="NoSpacing"/>
        <w:tabs>
          <w:tab w:val="left" w:pos="0"/>
        </w:tabs>
        <w:jc w:val="center"/>
        <w:rPr>
          <w:rFonts w:ascii="Arial" w:hAnsi="Arial" w:cs="Arial"/>
          <w:lang w:val="en-GB"/>
        </w:rPr>
      </w:pPr>
    </w:p>
    <w:p w:rsidR="00816A00" w:rsidRPr="004E1ECB" w:rsidRDefault="00041DA6" w:rsidP="00041DA6">
      <w:pPr>
        <w:pStyle w:val="SectionHeading"/>
        <w:jc w:val="left"/>
        <w:rPr>
          <w:rFonts w:ascii="Book Antiqua" w:hAnsi="Book Antiqua"/>
          <w:b w:val="0"/>
          <w:bCs w:val="0"/>
        </w:rPr>
      </w:pPr>
      <w:bookmarkStart w:id="3" w:name="_Toc57644641"/>
      <w:r w:rsidRPr="008A06E3">
        <w:rPr>
          <w:rFonts w:ascii="Book Antiqua" w:hAnsi="Book Antiqua"/>
        </w:rPr>
        <w:t xml:space="preserve">                        </w:t>
      </w:r>
      <w:r w:rsidR="00816A00" w:rsidRPr="004E1ECB">
        <w:rPr>
          <w:rFonts w:ascii="Book Antiqua" w:hAnsi="Book Antiqua"/>
          <w:b w:val="0"/>
          <w:bCs w:val="0"/>
        </w:rPr>
        <w:t>Letter of Invitation Requesting Proposals</w:t>
      </w:r>
      <w:bookmarkEnd w:id="3"/>
    </w:p>
    <w:p w:rsidR="00816A00" w:rsidRPr="008A06E3" w:rsidRDefault="00816A00" w:rsidP="00816A00">
      <w:pPr>
        <w:jc w:val="right"/>
        <w:rPr>
          <w:rFonts w:ascii="Book Antiqua" w:hAnsi="Book Antiqua"/>
          <w:b/>
          <w:i/>
          <w:color w:val="FF0000"/>
        </w:rPr>
      </w:pPr>
    </w:p>
    <w:p w:rsidR="00816A00" w:rsidRPr="008A06E3" w:rsidRDefault="00226EC8" w:rsidP="00857357">
      <w:pPr>
        <w:jc w:val="right"/>
        <w:rPr>
          <w:rFonts w:ascii="Book Antiqua" w:hAnsi="Book Antiqua"/>
          <w:bCs/>
          <w:iCs/>
        </w:rPr>
      </w:pPr>
      <w:r w:rsidRPr="008A06E3">
        <w:rPr>
          <w:rFonts w:ascii="Book Antiqua" w:hAnsi="Book Antiqua"/>
          <w:bCs/>
          <w:iCs/>
        </w:rPr>
        <w:t xml:space="preserve">                                                                                                         </w:t>
      </w:r>
      <w:r w:rsidR="008A06E3">
        <w:rPr>
          <w:rFonts w:ascii="Book Antiqua" w:hAnsi="Book Antiqua"/>
          <w:bCs/>
          <w:iCs/>
        </w:rPr>
        <w:t xml:space="preserve">           </w:t>
      </w:r>
      <w:r w:rsidR="00816A00" w:rsidRPr="008A06E3">
        <w:rPr>
          <w:rFonts w:ascii="Book Antiqua" w:hAnsi="Book Antiqua"/>
          <w:bCs/>
          <w:iCs/>
        </w:rPr>
        <w:t>2</w:t>
      </w:r>
      <w:r w:rsidR="00660EF0">
        <w:rPr>
          <w:rFonts w:ascii="Book Antiqua" w:hAnsi="Book Antiqua"/>
          <w:bCs/>
          <w:iCs/>
        </w:rPr>
        <w:t>7</w:t>
      </w:r>
      <w:r w:rsidR="00816A00" w:rsidRPr="008A06E3">
        <w:rPr>
          <w:rFonts w:ascii="Book Antiqua" w:hAnsi="Book Antiqua"/>
          <w:bCs/>
          <w:iCs/>
          <w:vertAlign w:val="superscript"/>
        </w:rPr>
        <w:t>th</w:t>
      </w:r>
      <w:r w:rsidR="00816A00" w:rsidRPr="008A06E3">
        <w:rPr>
          <w:rFonts w:ascii="Book Antiqua" w:hAnsi="Book Antiqua"/>
          <w:bCs/>
          <w:iCs/>
        </w:rPr>
        <w:t xml:space="preserve"> January 2023</w:t>
      </w:r>
    </w:p>
    <w:p w:rsidR="00816A00" w:rsidRPr="008A06E3" w:rsidRDefault="00816A00" w:rsidP="00816A00">
      <w:pPr>
        <w:rPr>
          <w:rFonts w:ascii="Book Antiqua" w:hAnsi="Book Antiqua"/>
        </w:rPr>
      </w:pPr>
    </w:p>
    <w:p w:rsidR="00696887" w:rsidRPr="008A06E3" w:rsidRDefault="00816A00" w:rsidP="00696887">
      <w:pPr>
        <w:tabs>
          <w:tab w:val="left" w:pos="0"/>
        </w:tabs>
        <w:rPr>
          <w:rFonts w:ascii="Book Antiqua" w:hAnsi="Book Antiqua" w:cs="Arial"/>
          <w:sz w:val="20"/>
          <w:szCs w:val="20"/>
          <w:lang w:val="en-GB"/>
        </w:rPr>
      </w:pPr>
      <w:r w:rsidRPr="008A06E3">
        <w:rPr>
          <w:rFonts w:ascii="Book Antiqua" w:hAnsi="Book Antiqua"/>
          <w:b/>
        </w:rPr>
        <w:t xml:space="preserve">Re: </w:t>
      </w:r>
      <w:r w:rsidR="00696887" w:rsidRPr="00857357">
        <w:rPr>
          <w:rFonts w:ascii="Book Antiqua" w:eastAsiaTheme="minorEastAsia" w:hAnsi="Book Antiqua" w:cs="Arial"/>
          <w:sz w:val="22"/>
          <w:szCs w:val="22"/>
          <w:lang w:val="en-GB"/>
        </w:rPr>
        <w:t xml:space="preserve">Feasibility Study </w:t>
      </w:r>
      <w:r w:rsidR="008A06E3" w:rsidRPr="00857357">
        <w:rPr>
          <w:rFonts w:ascii="Book Antiqua" w:eastAsiaTheme="minorEastAsia" w:hAnsi="Book Antiqua" w:cs="Arial"/>
          <w:sz w:val="22"/>
          <w:szCs w:val="22"/>
          <w:lang w:val="en-GB"/>
        </w:rPr>
        <w:t>f</w:t>
      </w:r>
      <w:r w:rsidR="00696887" w:rsidRPr="00857357">
        <w:rPr>
          <w:rFonts w:ascii="Book Antiqua" w:eastAsiaTheme="minorEastAsia" w:hAnsi="Book Antiqua" w:cs="Arial"/>
          <w:sz w:val="22"/>
          <w:szCs w:val="22"/>
          <w:lang w:val="en-GB"/>
        </w:rPr>
        <w:t xml:space="preserve">or </w:t>
      </w:r>
      <w:r w:rsidR="008A06E3" w:rsidRPr="00857357">
        <w:rPr>
          <w:rFonts w:ascii="Book Antiqua" w:eastAsiaTheme="minorEastAsia" w:hAnsi="Book Antiqua" w:cs="Arial"/>
          <w:sz w:val="22"/>
          <w:szCs w:val="22"/>
          <w:lang w:val="en-GB"/>
        </w:rPr>
        <w:t>t</w:t>
      </w:r>
      <w:r w:rsidR="00696887" w:rsidRPr="00857357">
        <w:rPr>
          <w:rFonts w:ascii="Book Antiqua" w:eastAsiaTheme="minorEastAsia" w:hAnsi="Book Antiqua" w:cs="Arial"/>
          <w:sz w:val="22"/>
          <w:szCs w:val="22"/>
          <w:lang w:val="en-GB"/>
        </w:rPr>
        <w:t xml:space="preserve">he Operation </w:t>
      </w:r>
      <w:r w:rsidR="008A06E3" w:rsidRPr="00857357">
        <w:rPr>
          <w:rFonts w:ascii="Book Antiqua" w:eastAsiaTheme="minorEastAsia" w:hAnsi="Book Antiqua" w:cs="Arial"/>
          <w:sz w:val="22"/>
          <w:szCs w:val="22"/>
          <w:lang w:val="en-GB"/>
        </w:rPr>
        <w:t>o</w:t>
      </w:r>
      <w:r w:rsidR="00696887" w:rsidRPr="00857357">
        <w:rPr>
          <w:rFonts w:ascii="Book Antiqua" w:eastAsiaTheme="minorEastAsia" w:hAnsi="Book Antiqua" w:cs="Arial"/>
          <w:sz w:val="22"/>
          <w:szCs w:val="22"/>
          <w:lang w:val="en-GB"/>
        </w:rPr>
        <w:t xml:space="preserve">f Longline Fishing Vessel/S </w:t>
      </w:r>
      <w:r w:rsidR="008A06E3" w:rsidRPr="00857357">
        <w:rPr>
          <w:rFonts w:ascii="Book Antiqua" w:eastAsiaTheme="minorEastAsia" w:hAnsi="Book Antiqua" w:cs="Arial"/>
          <w:sz w:val="22"/>
          <w:szCs w:val="22"/>
          <w:lang w:val="en-GB"/>
        </w:rPr>
        <w:t>a</w:t>
      </w:r>
      <w:r w:rsidR="00696887" w:rsidRPr="00857357">
        <w:rPr>
          <w:rFonts w:ascii="Book Antiqua" w:eastAsiaTheme="minorEastAsia" w:hAnsi="Book Antiqua" w:cs="Arial"/>
          <w:sz w:val="22"/>
          <w:szCs w:val="22"/>
          <w:lang w:val="en-GB"/>
        </w:rPr>
        <w:t xml:space="preserve">nd Fish Processing Plants </w:t>
      </w:r>
      <w:r w:rsidR="008A06E3" w:rsidRPr="00857357">
        <w:rPr>
          <w:rFonts w:ascii="Book Antiqua" w:eastAsiaTheme="minorEastAsia" w:hAnsi="Book Antiqua" w:cs="Arial"/>
          <w:sz w:val="22"/>
          <w:szCs w:val="22"/>
          <w:lang w:val="en-GB"/>
        </w:rPr>
        <w:t>i</w:t>
      </w:r>
      <w:r w:rsidR="00696887" w:rsidRPr="00857357">
        <w:rPr>
          <w:rFonts w:ascii="Book Antiqua" w:eastAsiaTheme="minorEastAsia" w:hAnsi="Book Antiqua" w:cs="Arial"/>
          <w:sz w:val="22"/>
          <w:szCs w:val="22"/>
          <w:lang w:val="en-GB"/>
        </w:rPr>
        <w:t>n Tanzania Under Public-Private Partnership</w:t>
      </w:r>
    </w:p>
    <w:p w:rsidR="00816A00" w:rsidRPr="00730974" w:rsidRDefault="00816A00" w:rsidP="00816A00">
      <w:bookmarkStart w:id="4" w:name="_GoBack"/>
      <w:bookmarkEnd w:id="4"/>
    </w:p>
    <w:p w:rsidR="00816A00" w:rsidRDefault="00816A00" w:rsidP="00816A00"/>
    <w:p w:rsidR="00816A00" w:rsidRPr="00ED6D36" w:rsidRDefault="00816A00" w:rsidP="00F303A3">
      <w:pPr>
        <w:ind w:left="567" w:hanging="567"/>
        <w:rPr>
          <w:rFonts w:ascii="Book Antiqua" w:hAnsi="Book Antiqua"/>
          <w:sz w:val="22"/>
          <w:szCs w:val="22"/>
        </w:rPr>
      </w:pPr>
      <w:r w:rsidRPr="00730974">
        <w:t>1.</w:t>
      </w:r>
      <w:r w:rsidRPr="00730974">
        <w:tab/>
      </w:r>
      <w:r w:rsidRPr="00ED6D36">
        <w:rPr>
          <w:rFonts w:ascii="Book Antiqua" w:hAnsi="Book Antiqua" w:cstheme="minorBidi"/>
          <w:sz w:val="22"/>
          <w:szCs w:val="22"/>
        </w:rPr>
        <w:t xml:space="preserve">The </w:t>
      </w:r>
      <w:r w:rsidRPr="00ED6D36">
        <w:rPr>
          <w:rFonts w:ascii="Book Antiqua" w:eastAsiaTheme="minorEastAsia" w:hAnsi="Book Antiqua" w:cstheme="minorBidi"/>
          <w:sz w:val="22"/>
          <w:szCs w:val="22"/>
          <w:lang w:val="en-GB"/>
        </w:rPr>
        <w:t>Government of the United Republic of Tanzania</w:t>
      </w:r>
      <w:r w:rsidRPr="00ED6D36">
        <w:rPr>
          <w:rFonts w:ascii="Book Antiqua" w:hAnsi="Book Antiqua" w:cstheme="minorBidi"/>
          <w:sz w:val="22"/>
          <w:szCs w:val="22"/>
        </w:rPr>
        <w:t xml:space="preserve"> has received financing from the International Fund for Agricultural Development (IFAD) and intends to apply a part of the financing </w:t>
      </w:r>
      <w:r w:rsidRPr="00ED6D36">
        <w:rPr>
          <w:rFonts w:ascii="Book Antiqua" w:hAnsi="Book Antiqua"/>
          <w:sz w:val="22"/>
          <w:szCs w:val="22"/>
        </w:rPr>
        <w:t>for the execution of the consulting services assignment described in paragraph 3 below.</w:t>
      </w:r>
    </w:p>
    <w:p w:rsidR="00816A00" w:rsidRPr="00ED6D36" w:rsidRDefault="00816A00" w:rsidP="00ED6D36">
      <w:pPr>
        <w:ind w:left="567" w:hanging="567"/>
        <w:jc w:val="both"/>
        <w:rPr>
          <w:rFonts w:ascii="Book Antiqua" w:hAnsi="Book Antiqua"/>
          <w:sz w:val="22"/>
          <w:szCs w:val="22"/>
        </w:rPr>
      </w:pPr>
      <w:r w:rsidRPr="00ED6D36">
        <w:rPr>
          <w:rFonts w:ascii="Book Antiqua" w:hAnsi="Book Antiqua"/>
          <w:sz w:val="22"/>
          <w:szCs w:val="22"/>
        </w:rPr>
        <w:br/>
      </w:r>
      <w:r w:rsidRPr="00ED6D36">
        <w:rPr>
          <w:rFonts w:ascii="Book Antiqua" w:hAnsi="Book Antiqua" w:cstheme="minorBidi"/>
          <w:sz w:val="22"/>
          <w:szCs w:val="22"/>
        </w:rPr>
        <w:t xml:space="preserve">The use of any IFAD financing shall be subject to IFAD’s no-objection,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ED6D36">
        <w:rPr>
          <w:rFonts w:ascii="Book Antiqua" w:eastAsiaTheme="minorEastAsia" w:hAnsi="Book Antiqua" w:cstheme="minorBidi"/>
          <w:sz w:val="22"/>
          <w:szCs w:val="22"/>
          <w:lang w:val="en-GB"/>
        </w:rPr>
        <w:t>Agriculture and Fisheries Development Programme (AFDP)</w:t>
      </w:r>
      <w:r w:rsidR="00041DA6" w:rsidRPr="00ED6D36">
        <w:rPr>
          <w:rFonts w:ascii="Book Antiqua" w:hAnsi="Book Antiqua" w:cstheme="minorBidi"/>
          <w:b/>
          <w:bCs/>
          <w:i/>
          <w:iCs/>
          <w:sz w:val="22"/>
          <w:szCs w:val="22"/>
        </w:rPr>
        <w:t>.</w:t>
      </w:r>
    </w:p>
    <w:p w:rsidR="00816A00" w:rsidRPr="00ED6D36" w:rsidRDefault="00816A00" w:rsidP="00F303A3">
      <w:pPr>
        <w:rPr>
          <w:rFonts w:ascii="Book Antiqua" w:hAnsi="Book Antiqua"/>
          <w:sz w:val="22"/>
          <w:szCs w:val="22"/>
        </w:rPr>
      </w:pPr>
    </w:p>
    <w:p w:rsidR="00816A00" w:rsidRPr="00ED6D36" w:rsidRDefault="00816A00" w:rsidP="00ED6D36">
      <w:pPr>
        <w:ind w:left="567" w:hanging="567"/>
        <w:jc w:val="both"/>
        <w:rPr>
          <w:rFonts w:ascii="Book Antiqua" w:eastAsiaTheme="minorEastAsia" w:hAnsi="Book Antiqua" w:cstheme="minorBidi"/>
          <w:sz w:val="22"/>
          <w:szCs w:val="22"/>
          <w:lang w:val="en-GB"/>
        </w:rPr>
      </w:pPr>
      <w:r w:rsidRPr="00ED6D36">
        <w:rPr>
          <w:rFonts w:ascii="Book Antiqua" w:hAnsi="Book Antiqua"/>
          <w:sz w:val="22"/>
          <w:szCs w:val="22"/>
        </w:rPr>
        <w:t>2.</w:t>
      </w:r>
      <w:r w:rsidRPr="00ED6D36">
        <w:rPr>
          <w:rFonts w:ascii="Book Antiqua" w:hAnsi="Book Antiqua"/>
          <w:sz w:val="22"/>
          <w:szCs w:val="22"/>
        </w:rPr>
        <w:tab/>
        <w:t xml:space="preserve">The </w:t>
      </w:r>
      <w:r w:rsidRPr="00ED6D36">
        <w:rPr>
          <w:rFonts w:ascii="Book Antiqua" w:eastAsiaTheme="minorEastAsia" w:hAnsi="Book Antiqua" w:cstheme="minorBidi"/>
          <w:sz w:val="22"/>
          <w:szCs w:val="22"/>
          <w:lang w:val="en-GB"/>
        </w:rPr>
        <w:t>Agriculture and Fisheries Development Programme (AFDP)</w:t>
      </w:r>
      <w:r w:rsidRPr="00ED6D36">
        <w:rPr>
          <w:rFonts w:ascii="Book Antiqua" w:hAnsi="Book Antiqua"/>
          <w:i/>
          <w:iCs/>
          <w:color w:val="FF0000"/>
          <w:sz w:val="22"/>
          <w:szCs w:val="22"/>
        </w:rPr>
        <w:t xml:space="preserve"> </w:t>
      </w:r>
      <w:r w:rsidRPr="00ED6D36">
        <w:rPr>
          <w:rFonts w:ascii="Book Antiqua" w:eastAsiaTheme="minorEastAsia" w:hAnsi="Book Antiqua" w:cstheme="minorBidi"/>
          <w:sz w:val="22"/>
          <w:szCs w:val="22"/>
          <w:lang w:val="en-GB"/>
        </w:rPr>
        <w:t xml:space="preserve">seeks to achieve </w:t>
      </w:r>
      <w:r w:rsidRPr="00ED6D36">
        <w:rPr>
          <w:rFonts w:ascii="Book Antiqua" w:hAnsi="Book Antiqua" w:cs="Arial"/>
          <w:sz w:val="22"/>
          <w:szCs w:val="22"/>
          <w:lang w:val="en-GB"/>
        </w:rPr>
        <w:t xml:space="preserve">self-sufficiency in the sustainable production and supply of quality fish, fishery products and agricultural commodities for domestic and export markets.  The objective of this </w:t>
      </w:r>
      <w:r w:rsidRPr="00ED6D36">
        <w:rPr>
          <w:rFonts w:ascii="Book Antiqua" w:eastAsiaTheme="minorEastAsia" w:hAnsi="Book Antiqua" w:cstheme="minorBidi"/>
          <w:sz w:val="22"/>
          <w:szCs w:val="22"/>
          <w:lang w:val="en-GB"/>
        </w:rPr>
        <w:t>Request for Proposal (RFP) is related to the fisheries sector of the</w:t>
      </w:r>
      <w:r w:rsidR="00857357">
        <w:rPr>
          <w:rFonts w:ascii="Book Antiqua" w:eastAsiaTheme="minorEastAsia" w:hAnsi="Book Antiqua" w:cstheme="minorBidi"/>
          <w:sz w:val="22"/>
          <w:szCs w:val="22"/>
          <w:lang w:val="en-GB"/>
        </w:rPr>
        <w:t xml:space="preserve"> </w:t>
      </w:r>
      <w:r w:rsidRPr="00ED6D36">
        <w:rPr>
          <w:rFonts w:ascii="Book Antiqua" w:eastAsiaTheme="minorEastAsia" w:hAnsi="Book Antiqua" w:cstheme="minorBidi"/>
          <w:sz w:val="22"/>
          <w:szCs w:val="22"/>
          <w:lang w:val="en-GB"/>
        </w:rPr>
        <w:t>AFDP.  Specifically, this RFP is for undertaking of a Feasibility Study for the Operation of Longline Fishing Vessel/s and Fish Processing Plants in Tanzania Under Public-Private Partnership. Funds under the AFDP shall be applied for financing of consulting services for the feasibility study.</w:t>
      </w:r>
    </w:p>
    <w:p w:rsidR="00816A00" w:rsidRPr="00ED6D36" w:rsidRDefault="00816A00" w:rsidP="00F303A3">
      <w:pPr>
        <w:rPr>
          <w:rFonts w:ascii="Book Antiqua" w:hAnsi="Book Antiqua"/>
          <w:sz w:val="22"/>
          <w:szCs w:val="22"/>
        </w:rPr>
      </w:pPr>
    </w:p>
    <w:p w:rsidR="00816A00" w:rsidRPr="00ED6D36" w:rsidRDefault="00816A00" w:rsidP="00ED6D36">
      <w:pPr>
        <w:ind w:left="567" w:hanging="567"/>
        <w:jc w:val="both"/>
        <w:rPr>
          <w:rFonts w:ascii="Book Antiqua" w:hAnsi="Book Antiqua"/>
          <w:i/>
          <w:color w:val="FF0000"/>
          <w:sz w:val="22"/>
          <w:szCs w:val="22"/>
        </w:rPr>
      </w:pPr>
      <w:r w:rsidRPr="00ED6D36">
        <w:rPr>
          <w:rFonts w:ascii="Book Antiqua" w:hAnsi="Book Antiqua"/>
          <w:sz w:val="22"/>
          <w:szCs w:val="22"/>
        </w:rPr>
        <w:t>3.</w:t>
      </w:r>
      <w:r w:rsidRPr="00ED6D36">
        <w:rPr>
          <w:rFonts w:ascii="Book Antiqua" w:hAnsi="Book Antiqua"/>
          <w:sz w:val="22"/>
          <w:szCs w:val="22"/>
        </w:rPr>
        <w:tab/>
        <w:t>The client now invites proposals (“proposals”) from consulting firms to provide the following services (“services”): “</w:t>
      </w:r>
      <w:r w:rsidRPr="00ED6D36">
        <w:rPr>
          <w:rFonts w:ascii="Book Antiqua" w:eastAsiaTheme="minorEastAsia" w:hAnsi="Book Antiqua" w:cs="Arial"/>
          <w:b/>
          <w:bCs/>
          <w:sz w:val="22"/>
          <w:szCs w:val="22"/>
          <w:lang w:val="en-GB"/>
        </w:rPr>
        <w:t>Feasibility Study for the Operation of Longline Fishing Vessel(s) and Fish Processing Plants in Tanzania Under Public-Private Partnership</w:t>
      </w:r>
      <w:r w:rsidRPr="00ED6D36">
        <w:rPr>
          <w:rFonts w:ascii="Book Antiqua" w:eastAsiaTheme="minorEastAsia" w:hAnsi="Book Antiqua" w:cs="Arial"/>
          <w:sz w:val="22"/>
          <w:szCs w:val="22"/>
          <w:lang w:val="en-GB"/>
        </w:rPr>
        <w:t>”</w:t>
      </w:r>
      <w:r w:rsidRPr="00ED6D36">
        <w:rPr>
          <w:rFonts w:ascii="Book Antiqua" w:hAnsi="Book Antiqua"/>
          <w:sz w:val="22"/>
          <w:szCs w:val="22"/>
        </w:rPr>
        <w:t xml:space="preserve">. More details on these services are provided in the terms of reference – Section VI. </w:t>
      </w:r>
    </w:p>
    <w:p w:rsidR="00816A00" w:rsidRPr="00ED6D36" w:rsidRDefault="00816A00" w:rsidP="00F303A3">
      <w:pPr>
        <w:rPr>
          <w:rFonts w:ascii="Book Antiqua" w:hAnsi="Book Antiqua"/>
          <w:sz w:val="22"/>
          <w:szCs w:val="22"/>
        </w:rPr>
      </w:pPr>
    </w:p>
    <w:p w:rsidR="00816A00" w:rsidRPr="00ED6D36" w:rsidRDefault="00816A00" w:rsidP="00ED6D36">
      <w:pPr>
        <w:ind w:left="567" w:hanging="567"/>
        <w:jc w:val="both"/>
        <w:rPr>
          <w:rFonts w:ascii="Book Antiqua" w:hAnsi="Book Antiqua"/>
          <w:sz w:val="22"/>
          <w:szCs w:val="22"/>
        </w:rPr>
      </w:pPr>
      <w:r w:rsidRPr="00ED6D36">
        <w:rPr>
          <w:rFonts w:ascii="Book Antiqua" w:hAnsi="Book Antiqua"/>
          <w:sz w:val="22"/>
          <w:szCs w:val="22"/>
        </w:rPr>
        <w:t>4.</w:t>
      </w:r>
      <w:r w:rsidRPr="00ED6D36">
        <w:rPr>
          <w:rFonts w:ascii="Book Antiqua" w:hAnsi="Book Antiqua"/>
          <w:sz w:val="22"/>
          <w:szCs w:val="22"/>
        </w:rPr>
        <w:tab/>
        <w:t>Subject to restrictions noted in the RFP, consultants may associate with other consultants to enhance their capacity to successfully carry out the assignment.</w:t>
      </w:r>
      <w:r w:rsidRPr="00ED6D36" w:rsidDel="00EE0804">
        <w:rPr>
          <w:rFonts w:ascii="Book Antiqua" w:hAnsi="Book Antiqua"/>
          <w:sz w:val="22"/>
          <w:szCs w:val="22"/>
        </w:rPr>
        <w:t xml:space="preserve"> </w:t>
      </w:r>
    </w:p>
    <w:p w:rsidR="00816A00" w:rsidRPr="00ED6D36" w:rsidRDefault="00816A00" w:rsidP="00F303A3">
      <w:pPr>
        <w:ind w:left="720"/>
        <w:rPr>
          <w:rFonts w:ascii="Book Antiqua" w:hAnsi="Book Antiqua"/>
          <w:sz w:val="22"/>
          <w:szCs w:val="22"/>
        </w:rPr>
      </w:pPr>
    </w:p>
    <w:p w:rsidR="00816A00" w:rsidRPr="00ED6D36" w:rsidRDefault="00816A00" w:rsidP="00ED6D36">
      <w:pPr>
        <w:ind w:left="567" w:hanging="567"/>
        <w:jc w:val="both"/>
        <w:rPr>
          <w:rFonts w:ascii="Book Antiqua" w:hAnsi="Book Antiqua"/>
          <w:sz w:val="22"/>
          <w:szCs w:val="22"/>
        </w:rPr>
      </w:pPr>
      <w:r w:rsidRPr="00ED6D36">
        <w:rPr>
          <w:rFonts w:ascii="Book Antiqua" w:hAnsi="Book Antiqua"/>
          <w:sz w:val="22"/>
          <w:szCs w:val="22"/>
        </w:rPr>
        <w:t>5.</w:t>
      </w:r>
      <w:r w:rsidRPr="00ED6D36">
        <w:rPr>
          <w:rFonts w:ascii="Book Antiqua" w:hAnsi="Book Antiqua"/>
          <w:sz w:val="22"/>
          <w:szCs w:val="22"/>
        </w:rPr>
        <w:tab/>
        <w:t xml:space="preserve">A consultant will be selected using Quality and Cost Based Selection (QCBS) evaluation procedure in accordance with the IFAD Procurement Handbook dated September 2021, </w:t>
      </w:r>
      <w:r w:rsidRPr="00ED6D36">
        <w:rPr>
          <w:rFonts w:ascii="Book Antiqua" w:hAnsi="Book Antiqua"/>
          <w:sz w:val="22"/>
          <w:szCs w:val="22"/>
        </w:rPr>
        <w:lastRenderedPageBreak/>
        <w:t xml:space="preserve">which is available at </w:t>
      </w:r>
      <w:hyperlink r:id="rId9" w:history="1">
        <w:r w:rsidRPr="00ED6D36">
          <w:rPr>
            <w:rStyle w:val="Hyperlink"/>
            <w:rFonts w:ascii="Book Antiqua" w:hAnsi="Book Antiqua"/>
            <w:sz w:val="22"/>
            <w:szCs w:val="22"/>
          </w:rPr>
          <w:t>www.ifad.org/project-procurement</w:t>
        </w:r>
      </w:hyperlink>
      <w:r w:rsidRPr="00ED6D36">
        <w:rPr>
          <w:rFonts w:ascii="Book Antiqua" w:hAnsi="Book Antiqua"/>
          <w:sz w:val="22"/>
          <w:szCs w:val="22"/>
        </w:rPr>
        <w:t>. The selection process, as described, may include a reference check, prior to contract award.</w:t>
      </w:r>
    </w:p>
    <w:p w:rsidR="00816A00" w:rsidRPr="00ED6D36" w:rsidRDefault="00816A00" w:rsidP="00F303A3">
      <w:pPr>
        <w:rPr>
          <w:rFonts w:ascii="Book Antiqua" w:hAnsi="Book Antiqua"/>
          <w:sz w:val="22"/>
          <w:szCs w:val="22"/>
        </w:rPr>
      </w:pPr>
    </w:p>
    <w:p w:rsidR="00816A00" w:rsidRPr="00ED6D36" w:rsidRDefault="00816A00" w:rsidP="00857357">
      <w:pPr>
        <w:spacing w:line="240" w:lineRule="atLeast"/>
        <w:rPr>
          <w:rFonts w:ascii="Book Antiqua" w:hAnsi="Book Antiqua"/>
          <w:sz w:val="22"/>
          <w:szCs w:val="22"/>
        </w:rPr>
      </w:pPr>
      <w:r w:rsidRPr="00ED6D36">
        <w:rPr>
          <w:rFonts w:ascii="Book Antiqua" w:hAnsi="Book Antiqua"/>
          <w:sz w:val="22"/>
          <w:szCs w:val="22"/>
        </w:rPr>
        <w:t>6.</w:t>
      </w:r>
      <w:r w:rsidRPr="00ED6D36">
        <w:rPr>
          <w:rFonts w:ascii="Book Antiqua" w:hAnsi="Book Antiqua"/>
          <w:sz w:val="22"/>
          <w:szCs w:val="22"/>
        </w:rPr>
        <w:tab/>
        <w:t>The RFP includes the following sections:</w:t>
      </w:r>
    </w:p>
    <w:p w:rsidR="00816A00" w:rsidRPr="00ED6D36" w:rsidRDefault="00816A00" w:rsidP="00857357">
      <w:pPr>
        <w:spacing w:line="240" w:lineRule="atLeast"/>
        <w:rPr>
          <w:rFonts w:ascii="Book Antiqua" w:hAnsi="Book Antiqua"/>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Part 1 – Proposal and Selection Procedures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I</w:t>
      </w:r>
      <w:r w:rsidRPr="00ED6D36">
        <w:rPr>
          <w:rFonts w:ascii="Book Antiqua" w:hAnsi="Book Antiqua"/>
          <w:bCs/>
          <w:sz w:val="22"/>
          <w:szCs w:val="22"/>
        </w:rPr>
        <w:tab/>
        <w:t>Letter of Invitation Requesting Proposals (LOI)</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II</w:t>
      </w:r>
      <w:r w:rsidRPr="00ED6D36">
        <w:rPr>
          <w:rFonts w:ascii="Book Antiqua" w:hAnsi="Book Antiqua"/>
          <w:bCs/>
          <w:sz w:val="22"/>
          <w:szCs w:val="22"/>
        </w:rPr>
        <w:tab/>
        <w:t>Instructions to Consultants</w:t>
      </w:r>
      <w:r w:rsidRPr="00ED6D36">
        <w:rPr>
          <w:rFonts w:ascii="Book Antiqua" w:hAnsi="Book Antiqua"/>
          <w:bCs/>
          <w:sz w:val="22"/>
          <w:szCs w:val="22"/>
        </w:rPr>
        <w:tab/>
        <w:t>(ITC)</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III</w:t>
      </w:r>
      <w:r w:rsidRPr="00ED6D36">
        <w:rPr>
          <w:rFonts w:ascii="Book Antiqua" w:hAnsi="Book Antiqua"/>
          <w:bCs/>
          <w:sz w:val="22"/>
          <w:szCs w:val="22"/>
        </w:rPr>
        <w:tab/>
        <w:t>Proposal Data Sheet (PDS)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IV</w:t>
      </w:r>
      <w:r w:rsidRPr="00ED6D36">
        <w:rPr>
          <w:rFonts w:ascii="Book Antiqua" w:hAnsi="Book Antiqua"/>
          <w:bCs/>
          <w:sz w:val="22"/>
          <w:szCs w:val="22"/>
        </w:rPr>
        <w:tab/>
        <w:t xml:space="preserve">Qualification and Evaluation Criteria </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 xml:space="preserve">Section V </w:t>
      </w:r>
      <w:proofErr w:type="gramStart"/>
      <w:r w:rsidRPr="00ED6D36">
        <w:rPr>
          <w:rFonts w:ascii="Book Antiqua" w:hAnsi="Book Antiqua"/>
          <w:bCs/>
          <w:sz w:val="22"/>
          <w:szCs w:val="22"/>
        </w:rPr>
        <w:t>A</w:t>
      </w:r>
      <w:proofErr w:type="gramEnd"/>
      <w:r w:rsidRPr="00ED6D36">
        <w:rPr>
          <w:rFonts w:ascii="Book Antiqua" w:hAnsi="Book Antiqua"/>
          <w:bCs/>
          <w:sz w:val="22"/>
          <w:szCs w:val="22"/>
        </w:rPr>
        <w:tab/>
        <w:t>Technical Proposal Forms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V B</w:t>
      </w:r>
      <w:r w:rsidRPr="00ED6D36">
        <w:rPr>
          <w:rFonts w:ascii="Book Antiqua" w:hAnsi="Book Antiqua"/>
          <w:bCs/>
          <w:sz w:val="22"/>
          <w:szCs w:val="22"/>
        </w:rPr>
        <w:tab/>
        <w:t>Financial Proposal Forms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VI</w:t>
      </w:r>
      <w:r w:rsidRPr="00ED6D36">
        <w:rPr>
          <w:rFonts w:ascii="Book Antiqua" w:hAnsi="Book Antiqua"/>
          <w:bCs/>
          <w:sz w:val="22"/>
          <w:szCs w:val="22"/>
        </w:rPr>
        <w:tab/>
        <w:t>Terms of Reference</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Part 2 – Conditions of Contract and Contract Forms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VII</w:t>
      </w:r>
      <w:r w:rsidRPr="00ED6D36">
        <w:rPr>
          <w:rFonts w:ascii="Book Antiqua" w:hAnsi="Book Antiqua"/>
          <w:bCs/>
          <w:sz w:val="22"/>
          <w:szCs w:val="22"/>
        </w:rPr>
        <w:tab/>
        <w:t>Contract Agreement and General Conditions of Contract (GCC)</w:t>
      </w: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Section VIII</w:t>
      </w:r>
      <w:r w:rsidRPr="00ED6D36">
        <w:rPr>
          <w:rFonts w:ascii="Book Antiqua" w:hAnsi="Book Antiqua"/>
          <w:bCs/>
          <w:sz w:val="22"/>
          <w:szCs w:val="22"/>
        </w:rPr>
        <w:tab/>
        <w:t>Special Conditions of Contract (SCC), Annexes to Contract and Contract Forms</w:t>
      </w:r>
    </w:p>
    <w:p w:rsidR="00816A00" w:rsidRPr="00ED6D36" w:rsidRDefault="00816A00" w:rsidP="00857357">
      <w:pPr>
        <w:spacing w:line="240" w:lineRule="atLeast"/>
        <w:ind w:left="1440"/>
        <w:rPr>
          <w:rFonts w:ascii="Book Antiqua" w:hAnsi="Book Antiqua"/>
          <w:bCs/>
          <w:sz w:val="22"/>
          <w:szCs w:val="22"/>
        </w:rPr>
      </w:pPr>
    </w:p>
    <w:p w:rsidR="00816A00" w:rsidRPr="00ED6D36" w:rsidRDefault="00816A00" w:rsidP="00857357">
      <w:pPr>
        <w:spacing w:line="240" w:lineRule="atLeast"/>
        <w:ind w:left="1440"/>
        <w:rPr>
          <w:rFonts w:ascii="Book Antiqua" w:hAnsi="Book Antiqua"/>
          <w:bCs/>
          <w:sz w:val="22"/>
          <w:szCs w:val="22"/>
        </w:rPr>
      </w:pPr>
      <w:r w:rsidRPr="00ED6D36">
        <w:rPr>
          <w:rFonts w:ascii="Book Antiqua" w:hAnsi="Book Antiqua"/>
          <w:bCs/>
          <w:sz w:val="22"/>
          <w:szCs w:val="22"/>
        </w:rPr>
        <w:t xml:space="preserve">Section IX </w:t>
      </w:r>
      <w:r w:rsidRPr="00ED6D36">
        <w:rPr>
          <w:rFonts w:ascii="Book Antiqua" w:hAnsi="Book Antiqua"/>
          <w:bCs/>
          <w:sz w:val="22"/>
          <w:szCs w:val="22"/>
        </w:rPr>
        <w:tab/>
        <w:t>Revised IFAD Policy on Preventing Fraud and Corruption in its Activities and Operations</w:t>
      </w:r>
    </w:p>
    <w:p w:rsidR="00816A00" w:rsidRPr="00ED6D36" w:rsidRDefault="00816A00" w:rsidP="00857357">
      <w:pPr>
        <w:spacing w:line="240" w:lineRule="atLeast"/>
        <w:rPr>
          <w:rFonts w:ascii="Book Antiqua" w:hAnsi="Book Antiqua"/>
          <w:sz w:val="22"/>
          <w:szCs w:val="22"/>
        </w:rPr>
      </w:pPr>
    </w:p>
    <w:p w:rsidR="00816A00" w:rsidRPr="00ED6D36" w:rsidRDefault="00816A00" w:rsidP="00857357">
      <w:pPr>
        <w:spacing w:line="240" w:lineRule="atLeast"/>
        <w:ind w:left="720" w:hanging="720"/>
        <w:rPr>
          <w:rFonts w:ascii="Book Antiqua" w:hAnsi="Book Antiqua"/>
          <w:sz w:val="22"/>
          <w:szCs w:val="22"/>
        </w:rPr>
      </w:pPr>
      <w:r w:rsidRPr="00ED6D36">
        <w:rPr>
          <w:rFonts w:ascii="Book Antiqua" w:hAnsi="Book Antiqua"/>
          <w:sz w:val="22"/>
          <w:szCs w:val="22"/>
        </w:rPr>
        <w:t>7.</w:t>
      </w:r>
      <w:r w:rsidRPr="00ED6D36">
        <w:rPr>
          <w:rFonts w:ascii="Book Antiqua" w:hAnsi="Book Antiqua"/>
          <w:sz w:val="22"/>
          <w:szCs w:val="22"/>
        </w:rPr>
        <w:tab/>
        <w:t>A pre-proposal conference will be held as described in the proposal data sheet (“PDS”), Section III of this RFP.</w:t>
      </w:r>
    </w:p>
    <w:p w:rsidR="00816A00" w:rsidRPr="00ED6D36" w:rsidRDefault="00816A00" w:rsidP="00857357">
      <w:pPr>
        <w:spacing w:line="240" w:lineRule="atLeast"/>
        <w:ind w:left="720" w:hanging="720"/>
        <w:jc w:val="both"/>
        <w:rPr>
          <w:rFonts w:ascii="Book Antiqua" w:hAnsi="Book Antiqua"/>
          <w:sz w:val="22"/>
          <w:szCs w:val="22"/>
        </w:rPr>
      </w:pPr>
      <w:r w:rsidRPr="00ED6D36">
        <w:rPr>
          <w:rFonts w:ascii="Book Antiqua" w:hAnsi="Book Antiqua"/>
          <w:sz w:val="22"/>
          <w:szCs w:val="22"/>
        </w:rPr>
        <w:t>8.</w:t>
      </w:r>
      <w:r w:rsidRPr="00ED6D36">
        <w:rPr>
          <w:rFonts w:ascii="Book Antiqua" w:hAnsi="Book Antiqua"/>
          <w:sz w:val="22"/>
          <w:szCs w:val="22"/>
        </w:rPr>
        <w:tab/>
        <w:t xml:space="preserve">Proposals must be submitted through </w:t>
      </w:r>
      <w:r w:rsidRPr="00ED6D36">
        <w:rPr>
          <w:rFonts w:ascii="Book Antiqua" w:hAnsi="Book Antiqua" w:cs="Arial"/>
          <w:sz w:val="22"/>
          <w:szCs w:val="22"/>
          <w:lang w:val="en-GB"/>
        </w:rPr>
        <w:t>Tanzania national electronic procurement System (</w:t>
      </w:r>
      <w:proofErr w:type="spellStart"/>
      <w:r w:rsidRPr="00ED6D36">
        <w:rPr>
          <w:rFonts w:ascii="Book Antiqua" w:hAnsi="Book Antiqua" w:cs="Arial"/>
          <w:sz w:val="22"/>
          <w:szCs w:val="22"/>
          <w:lang w:val="en-GB"/>
        </w:rPr>
        <w:t>TANePS</w:t>
      </w:r>
      <w:proofErr w:type="spellEnd"/>
      <w:r w:rsidRPr="00ED6D36">
        <w:rPr>
          <w:rFonts w:ascii="Book Antiqua" w:hAnsi="Book Antiqua" w:cs="Arial"/>
          <w:sz w:val="22"/>
          <w:szCs w:val="22"/>
          <w:lang w:val="en-GB"/>
        </w:rPr>
        <w:t xml:space="preserve">) accessed at </w:t>
      </w:r>
      <w:r w:rsidRPr="00ED6D36">
        <w:rPr>
          <w:rFonts w:ascii="Book Antiqua" w:hAnsi="Book Antiqua" w:cs="Arial"/>
          <w:sz w:val="22"/>
          <w:szCs w:val="22"/>
          <w:u w:val="single"/>
          <w:lang w:val="en-GB"/>
        </w:rPr>
        <w:t>www.taneps.go.tz</w:t>
      </w:r>
      <w:r w:rsidRPr="00ED6D36">
        <w:rPr>
          <w:rFonts w:ascii="Book Antiqua" w:hAnsi="Book Antiqua" w:cs="Arial"/>
          <w:sz w:val="22"/>
          <w:szCs w:val="22"/>
          <w:lang w:val="en-GB"/>
        </w:rPr>
        <w:t xml:space="preserve"> </w:t>
      </w:r>
      <w:r w:rsidRPr="00ED6D36">
        <w:rPr>
          <w:rFonts w:ascii="Book Antiqua" w:hAnsi="Book Antiqua"/>
          <w:sz w:val="22"/>
          <w:szCs w:val="22"/>
        </w:rPr>
        <w:t xml:space="preserve">and in the manner specified in the PDS ITC 20.3, 20.5 and 20.7, no later than 14:00 Hrs. (local time) of </w:t>
      </w:r>
      <w:r w:rsidR="00660EF0">
        <w:rPr>
          <w:rFonts w:ascii="Book Antiqua" w:hAnsi="Book Antiqua"/>
          <w:sz w:val="22"/>
          <w:szCs w:val="22"/>
        </w:rPr>
        <w:t>17</w:t>
      </w:r>
      <w:r w:rsidRPr="00ED6D36">
        <w:rPr>
          <w:rFonts w:ascii="Book Antiqua" w:hAnsi="Book Antiqua"/>
          <w:sz w:val="22"/>
          <w:szCs w:val="22"/>
        </w:rPr>
        <w:t>th March. 2023.</w:t>
      </w:r>
    </w:p>
    <w:p w:rsidR="00816A00" w:rsidRDefault="00816A00" w:rsidP="00857357">
      <w:pPr>
        <w:spacing w:line="240" w:lineRule="atLeast"/>
        <w:ind w:left="720" w:hanging="720"/>
        <w:rPr>
          <w:rFonts w:ascii="Book Antiqua" w:hAnsi="Book Antiqua"/>
          <w:sz w:val="22"/>
          <w:szCs w:val="22"/>
        </w:rPr>
      </w:pPr>
      <w:r w:rsidRPr="00ED6D36">
        <w:rPr>
          <w:rFonts w:ascii="Book Antiqua" w:hAnsi="Book Antiqua"/>
          <w:sz w:val="22"/>
          <w:szCs w:val="22"/>
        </w:rPr>
        <w:t>9.</w:t>
      </w:r>
      <w:r w:rsidRPr="00ED6D36">
        <w:rPr>
          <w:rFonts w:ascii="Book Antiqua" w:hAnsi="Book Antiqua"/>
          <w:sz w:val="22"/>
          <w:szCs w:val="22"/>
        </w:rPr>
        <w:tab/>
        <w:t>Late proposals will not be accepted under any circumstances.</w:t>
      </w:r>
    </w:p>
    <w:p w:rsidR="00857357" w:rsidRPr="00ED6D36" w:rsidRDefault="00857357" w:rsidP="00857357">
      <w:pPr>
        <w:spacing w:line="240" w:lineRule="atLeast"/>
        <w:ind w:left="720" w:hanging="720"/>
        <w:rPr>
          <w:rFonts w:ascii="Book Antiqua" w:hAnsi="Book Antiqua"/>
          <w:sz w:val="22"/>
          <w:szCs w:val="22"/>
        </w:rPr>
      </w:pPr>
    </w:p>
    <w:p w:rsidR="00816A00" w:rsidRPr="00ED6D36" w:rsidRDefault="00816A00" w:rsidP="00857357">
      <w:pPr>
        <w:spacing w:line="240" w:lineRule="atLeast"/>
        <w:ind w:left="720" w:hanging="720"/>
        <w:rPr>
          <w:rFonts w:ascii="Book Antiqua" w:hAnsi="Book Antiqua" w:cs="Arial"/>
          <w:sz w:val="22"/>
          <w:szCs w:val="22"/>
          <w:lang w:val="en-GB"/>
        </w:rPr>
      </w:pPr>
      <w:r w:rsidRPr="00ED6D36">
        <w:rPr>
          <w:rFonts w:ascii="Book Antiqua" w:hAnsi="Book Antiqua"/>
          <w:sz w:val="22"/>
          <w:szCs w:val="22"/>
        </w:rPr>
        <w:t>10.</w:t>
      </w:r>
      <w:r w:rsidRPr="00ED6D36">
        <w:rPr>
          <w:rFonts w:ascii="Book Antiqua" w:hAnsi="Book Antiqua"/>
          <w:sz w:val="22"/>
          <w:szCs w:val="22"/>
        </w:rPr>
        <w:tab/>
        <w:t xml:space="preserve">Electronic proposals </w:t>
      </w:r>
      <w:r w:rsidRPr="00ED6D36">
        <w:rPr>
          <w:rFonts w:ascii="Book Antiqua" w:hAnsi="Book Antiqua"/>
          <w:b/>
          <w:bCs/>
          <w:i/>
          <w:sz w:val="22"/>
          <w:szCs w:val="22"/>
        </w:rPr>
        <w:t>shall only</w:t>
      </w:r>
      <w:r w:rsidRPr="00ED6D36">
        <w:rPr>
          <w:rFonts w:ascii="Book Antiqua" w:hAnsi="Book Antiqua"/>
          <w:sz w:val="22"/>
          <w:szCs w:val="22"/>
        </w:rPr>
        <w:t xml:space="preserve"> be accepted. Proposals must be submitted through</w:t>
      </w:r>
      <w:r w:rsidRPr="00ED6D36">
        <w:rPr>
          <w:rFonts w:ascii="Book Antiqua" w:hAnsi="Book Antiqua" w:cs="Arial"/>
          <w:sz w:val="22"/>
          <w:szCs w:val="22"/>
          <w:lang w:val="en-GB"/>
        </w:rPr>
        <w:t xml:space="preserve">Tanzania national electronic </w:t>
      </w:r>
      <w:r w:rsidRPr="00ED6D36">
        <w:rPr>
          <w:rFonts w:ascii="Book Antiqua" w:hAnsi="Book Antiqua"/>
          <w:sz w:val="22"/>
          <w:szCs w:val="22"/>
        </w:rPr>
        <w:t>procurement</w:t>
      </w:r>
      <w:r w:rsidRPr="00ED6D36">
        <w:rPr>
          <w:rFonts w:ascii="Book Antiqua" w:hAnsi="Book Antiqua" w:cs="Arial"/>
          <w:sz w:val="22"/>
          <w:szCs w:val="22"/>
          <w:lang w:val="en-GB"/>
        </w:rPr>
        <w:t xml:space="preserve"> System (</w:t>
      </w:r>
      <w:proofErr w:type="spellStart"/>
      <w:r w:rsidRPr="00ED6D36">
        <w:rPr>
          <w:rFonts w:ascii="Book Antiqua" w:hAnsi="Book Antiqua" w:cs="Arial"/>
          <w:sz w:val="22"/>
          <w:szCs w:val="22"/>
          <w:lang w:val="en-GB"/>
        </w:rPr>
        <w:t>TANePS</w:t>
      </w:r>
      <w:proofErr w:type="spellEnd"/>
      <w:r w:rsidRPr="00ED6D36">
        <w:rPr>
          <w:rFonts w:ascii="Book Antiqua" w:hAnsi="Book Antiqua" w:cs="Arial"/>
          <w:sz w:val="22"/>
          <w:szCs w:val="22"/>
          <w:lang w:val="en-GB"/>
        </w:rPr>
        <w:t xml:space="preserve">) accessed at </w:t>
      </w:r>
      <w:hyperlink r:id="rId10" w:history="1">
        <w:r w:rsidRPr="00ED6D36">
          <w:rPr>
            <w:rStyle w:val="Hyperlink"/>
            <w:rFonts w:ascii="Book Antiqua" w:hAnsi="Book Antiqua" w:cs="Arial"/>
            <w:sz w:val="22"/>
            <w:szCs w:val="22"/>
            <w:lang w:val="en-GB"/>
          </w:rPr>
          <w:t>www.taneps.go.tz</w:t>
        </w:r>
      </w:hyperlink>
      <w:r w:rsidRPr="00ED6D36">
        <w:rPr>
          <w:rFonts w:ascii="Book Antiqua" w:hAnsi="Book Antiqua" w:cs="Arial"/>
          <w:sz w:val="22"/>
          <w:szCs w:val="22"/>
          <w:u w:val="single"/>
          <w:lang w:val="en-GB"/>
        </w:rPr>
        <w:t xml:space="preserve">. </w:t>
      </w:r>
      <w:r w:rsidRPr="00ED6D36">
        <w:rPr>
          <w:rFonts w:ascii="Book Antiqua" w:hAnsi="Book Antiqua" w:cs="Arial"/>
          <w:sz w:val="22"/>
          <w:szCs w:val="22"/>
          <w:lang w:val="en-GB"/>
        </w:rPr>
        <w:t xml:space="preserve"> Hardcopy proposal document submission is not acceptable. </w:t>
      </w:r>
    </w:p>
    <w:p w:rsidR="00816A00" w:rsidRPr="00ED6D36" w:rsidRDefault="00816A00" w:rsidP="00857357">
      <w:pPr>
        <w:spacing w:line="240" w:lineRule="atLeast"/>
        <w:ind w:left="720" w:hanging="720"/>
        <w:rPr>
          <w:rFonts w:ascii="Book Antiqua" w:hAnsi="Book Antiqua" w:cs="Arial"/>
          <w:sz w:val="22"/>
          <w:szCs w:val="22"/>
          <w:lang w:val="en-GB"/>
        </w:rPr>
      </w:pPr>
    </w:p>
    <w:p w:rsidR="00816A00" w:rsidRPr="00ED6D36" w:rsidRDefault="00816A00" w:rsidP="00857357">
      <w:pPr>
        <w:spacing w:line="240" w:lineRule="atLeast"/>
        <w:ind w:left="720" w:hanging="720"/>
        <w:rPr>
          <w:rFonts w:ascii="Book Antiqua" w:hAnsi="Book Antiqua"/>
          <w:sz w:val="22"/>
          <w:szCs w:val="22"/>
        </w:rPr>
      </w:pPr>
      <w:r w:rsidRPr="00ED6D36">
        <w:rPr>
          <w:rFonts w:ascii="Book Antiqua" w:hAnsi="Book Antiqua"/>
          <w:sz w:val="22"/>
          <w:szCs w:val="22"/>
        </w:rPr>
        <w:t>11.</w:t>
      </w:r>
      <w:r w:rsidRPr="00ED6D36">
        <w:rPr>
          <w:rFonts w:ascii="Book Antiqua" w:hAnsi="Book Antiqua"/>
          <w:sz w:val="22"/>
          <w:szCs w:val="22"/>
        </w:rPr>
        <w:tab/>
        <w:t>The request for proposals will be advertised in newspapers in Tanzania, UNDB and Tanzania National Procurement System (</w:t>
      </w:r>
      <w:proofErr w:type="spellStart"/>
      <w:r w:rsidRPr="00ED6D36">
        <w:rPr>
          <w:rFonts w:ascii="Book Antiqua" w:hAnsi="Book Antiqua"/>
          <w:sz w:val="22"/>
          <w:szCs w:val="22"/>
        </w:rPr>
        <w:t>TANePS</w:t>
      </w:r>
      <w:proofErr w:type="spellEnd"/>
      <w:r w:rsidRPr="00ED6D36">
        <w:rPr>
          <w:rFonts w:ascii="Book Antiqua" w:hAnsi="Book Antiqua"/>
          <w:sz w:val="22"/>
          <w:szCs w:val="22"/>
        </w:rPr>
        <w:t xml:space="preserve">) accessible through </w:t>
      </w:r>
      <w:hyperlink r:id="rId11" w:history="1">
        <w:r w:rsidRPr="00ED6D36">
          <w:rPr>
            <w:rFonts w:ascii="Book Antiqua" w:hAnsi="Book Antiqua"/>
            <w:sz w:val="22"/>
            <w:szCs w:val="22"/>
          </w:rPr>
          <w:t>www.taneps.go.tz</w:t>
        </w:r>
      </w:hyperlink>
      <w:r w:rsidRPr="00ED6D36">
        <w:rPr>
          <w:rFonts w:ascii="Book Antiqua" w:hAnsi="Book Antiqua"/>
          <w:sz w:val="22"/>
          <w:szCs w:val="22"/>
        </w:rPr>
        <w:t>.</w:t>
      </w:r>
    </w:p>
    <w:p w:rsidR="00816A00" w:rsidRPr="00ED6D36" w:rsidRDefault="00816A00" w:rsidP="00857357">
      <w:pPr>
        <w:spacing w:line="240" w:lineRule="atLeast"/>
        <w:ind w:left="720" w:hanging="720"/>
        <w:rPr>
          <w:rFonts w:ascii="Book Antiqua" w:hAnsi="Book Antiqua"/>
          <w:sz w:val="22"/>
          <w:szCs w:val="22"/>
        </w:rPr>
      </w:pPr>
    </w:p>
    <w:p w:rsidR="00816A00" w:rsidRPr="00ED6D36" w:rsidRDefault="00816A00" w:rsidP="00857357">
      <w:pPr>
        <w:spacing w:line="240" w:lineRule="atLeast"/>
        <w:ind w:left="720" w:hanging="720"/>
        <w:rPr>
          <w:rFonts w:ascii="Book Antiqua" w:hAnsi="Book Antiqua" w:cs="Arial"/>
          <w:sz w:val="22"/>
          <w:szCs w:val="22"/>
        </w:rPr>
      </w:pPr>
      <w:r w:rsidRPr="00ED6D36">
        <w:rPr>
          <w:rFonts w:ascii="Book Antiqua" w:hAnsi="Book Antiqua" w:cs="Arial"/>
          <w:sz w:val="22"/>
          <w:szCs w:val="22"/>
        </w:rPr>
        <w:t>12.</w:t>
      </w:r>
      <w:r w:rsidRPr="00ED6D36">
        <w:rPr>
          <w:rFonts w:ascii="Book Antiqua" w:hAnsi="Book Antiqua" w:cs="Arial"/>
          <w:sz w:val="22"/>
          <w:szCs w:val="22"/>
        </w:rPr>
        <w:tab/>
      </w:r>
      <w:r w:rsidRPr="00ED6D36">
        <w:rPr>
          <w:rFonts w:ascii="Book Antiqua" w:hAnsi="Book Antiqua" w:cs="Arial"/>
          <w:color w:val="000000"/>
          <w:sz w:val="22"/>
          <w:szCs w:val="22"/>
        </w:rPr>
        <w:t xml:space="preserve">Consultants are required to register on </w:t>
      </w:r>
      <w:proofErr w:type="spellStart"/>
      <w:r w:rsidRPr="00ED6D36">
        <w:rPr>
          <w:rFonts w:ascii="Book Antiqua" w:hAnsi="Book Antiqua" w:cs="Arial"/>
          <w:color w:val="000000"/>
          <w:sz w:val="22"/>
          <w:szCs w:val="22"/>
        </w:rPr>
        <w:t>TANePS</w:t>
      </w:r>
      <w:proofErr w:type="spellEnd"/>
      <w:r w:rsidRPr="00ED6D36">
        <w:rPr>
          <w:rFonts w:ascii="Book Antiqua" w:hAnsi="Book Antiqua" w:cs="Arial"/>
          <w:color w:val="000000"/>
          <w:sz w:val="22"/>
          <w:szCs w:val="22"/>
        </w:rPr>
        <w:t xml:space="preserve"> and pay tender participation</w:t>
      </w:r>
      <w:r w:rsidRPr="00ED6D36" w:rsidDel="00501C3A">
        <w:rPr>
          <w:rFonts w:ascii="Book Antiqua" w:hAnsi="Book Antiqua" w:cs="Arial"/>
          <w:color w:val="000000"/>
          <w:sz w:val="22"/>
          <w:szCs w:val="22"/>
        </w:rPr>
        <w:t xml:space="preserve"> </w:t>
      </w:r>
      <w:r w:rsidRPr="00ED6D36">
        <w:rPr>
          <w:rFonts w:ascii="Book Antiqua" w:hAnsi="Book Antiqua" w:cs="Arial"/>
          <w:color w:val="000000"/>
          <w:sz w:val="22"/>
          <w:szCs w:val="22"/>
        </w:rPr>
        <w:t xml:space="preserve">fee as indicated on </w:t>
      </w:r>
      <w:proofErr w:type="spellStart"/>
      <w:r w:rsidRPr="00ED6D36">
        <w:rPr>
          <w:rFonts w:ascii="Book Antiqua" w:hAnsi="Book Antiqua" w:cs="Arial"/>
          <w:color w:val="000000"/>
          <w:sz w:val="22"/>
          <w:szCs w:val="22"/>
        </w:rPr>
        <w:t>TANePS</w:t>
      </w:r>
      <w:proofErr w:type="spellEnd"/>
      <w:r w:rsidRPr="00ED6D36">
        <w:rPr>
          <w:rFonts w:ascii="Book Antiqua" w:hAnsi="Book Antiqua" w:cs="Arial"/>
          <w:color w:val="000000"/>
          <w:sz w:val="22"/>
          <w:szCs w:val="22"/>
        </w:rPr>
        <w:t xml:space="preserve"> to be able to participate in this selection process</w:t>
      </w:r>
    </w:p>
    <w:p w:rsidR="00816A00" w:rsidRPr="00ED6D36" w:rsidRDefault="00041DA6" w:rsidP="00816A00">
      <w:pPr>
        <w:rPr>
          <w:rFonts w:ascii="Book Antiqua" w:hAnsi="Book Antiqua"/>
          <w:sz w:val="22"/>
          <w:szCs w:val="22"/>
        </w:rPr>
      </w:pPr>
      <w:r w:rsidRPr="00ED6D36">
        <w:rPr>
          <w:rFonts w:ascii="Book Antiqua" w:hAnsi="Book Antiqua"/>
          <w:sz w:val="22"/>
          <w:szCs w:val="22"/>
        </w:rPr>
        <w:t xml:space="preserve">           </w:t>
      </w:r>
      <w:r w:rsidR="00816A00" w:rsidRPr="00ED6D36">
        <w:rPr>
          <w:rFonts w:ascii="Book Antiqua" w:hAnsi="Book Antiqua"/>
          <w:sz w:val="22"/>
          <w:szCs w:val="22"/>
        </w:rPr>
        <w:t>Yours Sincerely,</w:t>
      </w:r>
    </w:p>
    <w:p w:rsidR="00816A00" w:rsidRPr="00ED6D36" w:rsidRDefault="00816A00" w:rsidP="00816A00">
      <w:pPr>
        <w:rPr>
          <w:rFonts w:ascii="Book Antiqua" w:hAnsi="Book Antiqua"/>
          <w:sz w:val="22"/>
          <w:szCs w:val="22"/>
        </w:rPr>
      </w:pPr>
    </w:p>
    <w:p w:rsidR="00816A00" w:rsidRPr="00ED6D36" w:rsidRDefault="00816A00" w:rsidP="00041DA6">
      <w:pPr>
        <w:jc w:val="center"/>
        <w:rPr>
          <w:rFonts w:ascii="Book Antiqua" w:hAnsi="Book Antiqua" w:cs="Arial"/>
          <w:sz w:val="22"/>
          <w:szCs w:val="22"/>
          <w:lang w:val="en-GB"/>
        </w:rPr>
      </w:pPr>
      <w:r w:rsidRPr="00ED6D36">
        <w:rPr>
          <w:rFonts w:ascii="Book Antiqua" w:hAnsi="Book Antiqua" w:cs="Arial"/>
          <w:sz w:val="22"/>
          <w:szCs w:val="22"/>
          <w:lang w:val="en-GB"/>
        </w:rPr>
        <w:t>Permanent Secretary,</w:t>
      </w:r>
    </w:p>
    <w:p w:rsidR="00816A00" w:rsidRPr="00ED6D36" w:rsidRDefault="00816A00" w:rsidP="00041DA6">
      <w:pPr>
        <w:jc w:val="center"/>
        <w:rPr>
          <w:rFonts w:ascii="Book Antiqua" w:hAnsi="Book Antiqua" w:cs="Arial"/>
          <w:sz w:val="22"/>
          <w:szCs w:val="22"/>
          <w:lang w:val="en-GB"/>
        </w:rPr>
      </w:pPr>
      <w:r w:rsidRPr="00ED6D36">
        <w:rPr>
          <w:rFonts w:ascii="Book Antiqua" w:hAnsi="Book Antiqua" w:cs="Arial"/>
          <w:sz w:val="22"/>
          <w:szCs w:val="22"/>
          <w:lang w:val="en-GB"/>
        </w:rPr>
        <w:t>Prime Minister’s Office,</w:t>
      </w:r>
    </w:p>
    <w:p w:rsidR="00816A00" w:rsidRPr="00ED6D36" w:rsidRDefault="00816A00" w:rsidP="00041DA6">
      <w:pPr>
        <w:jc w:val="center"/>
        <w:rPr>
          <w:rFonts w:ascii="Book Antiqua" w:hAnsi="Book Antiqua" w:cs="Arial"/>
          <w:sz w:val="22"/>
          <w:szCs w:val="22"/>
          <w:lang w:val="en-GB"/>
        </w:rPr>
      </w:pPr>
      <w:r w:rsidRPr="00ED6D36">
        <w:rPr>
          <w:rFonts w:ascii="Book Antiqua" w:hAnsi="Book Antiqua" w:cs="Arial"/>
          <w:sz w:val="22"/>
          <w:szCs w:val="22"/>
          <w:lang w:val="en-GB"/>
        </w:rPr>
        <w:t>Policy, Coordination and Parliament</w:t>
      </w:r>
    </w:p>
    <w:sectPr w:rsidR="00816A00" w:rsidRPr="00ED6D36" w:rsidSect="00696887">
      <w:footerReference w:type="defaul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F8" w:rsidRDefault="000D14F8" w:rsidP="00696887">
      <w:r>
        <w:separator/>
      </w:r>
    </w:p>
  </w:endnote>
  <w:endnote w:type="continuationSeparator" w:id="0">
    <w:p w:rsidR="000D14F8" w:rsidRDefault="000D14F8" w:rsidP="0069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020" w:rsidRPr="006C0937" w:rsidRDefault="000D14F8">
    <w:pPr>
      <w:tabs>
        <w:tab w:val="left" w:pos="395"/>
        <w:tab w:val="left" w:pos="1646"/>
      </w:tabs>
      <w:rPr>
        <w:rFonts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p w:rsidR="00B24020" w:rsidRDefault="00B2402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020" w:rsidRPr="00A51237" w:rsidRDefault="000D14F8">
    <w:pPr>
      <w:tabs>
        <w:tab w:val="right" w:pos="8647"/>
        <w:tab w:val="right" w:pos="9923"/>
      </w:tabs>
    </w:pPr>
    <w:r w:rsidRPr="00A51237">
      <w:rPr>
        <w:rFonts w:cs="Arial"/>
        <w:i/>
        <w:iCs/>
        <w:color w:val="FF0000"/>
        <w:sz w:val="20"/>
        <w:szCs w:val="20"/>
        <w:lang w:val="en-GB"/>
      </w:rPr>
      <w:t>[</w:t>
    </w:r>
    <w:r>
      <w:rPr>
        <w:rFonts w:cs="Arial"/>
        <w:i/>
        <w:iCs/>
        <w:color w:val="FF0000"/>
        <w:sz w:val="20"/>
        <w:szCs w:val="20"/>
        <w:lang w:val="en-GB"/>
      </w:rPr>
      <w:t xml:space="preserve">project </w:t>
    </w:r>
    <w:r w:rsidRPr="00A51237">
      <w:rPr>
        <w:rFonts w:cs="Arial"/>
        <w:i/>
        <w:iCs/>
        <w:color w:val="FF0000"/>
        <w:sz w:val="20"/>
        <w:szCs w:val="20"/>
        <w:lang w:val="en-GB"/>
      </w:rPr>
      <w:t>name]</w:t>
    </w:r>
    <w:r>
      <w:rPr>
        <w:rFonts w:cs="Arial"/>
        <w:i/>
        <w:iCs/>
        <w:color w:val="FF0000"/>
        <w:sz w:val="20"/>
        <w:szCs w:val="20"/>
        <w:lang w:val="en-GB"/>
      </w:rPr>
      <w:tab/>
    </w:r>
    <w:r>
      <w:rPr>
        <w:rFonts w:cs="Arial"/>
        <w:i/>
        <w:iCs/>
        <w:color w:val="FF0000"/>
        <w:sz w:val="20"/>
        <w:szCs w:val="20"/>
        <w:lang w:val="en-GB"/>
      </w:rPr>
      <w:tab/>
    </w:r>
    <w:sdt>
      <w:sdtPr>
        <w:id w:val="-445694289"/>
        <w:docPartObj>
          <w:docPartGallery w:val="Page Numbers (Bottom of Page)"/>
          <w:docPartUnique/>
        </w:docPartObj>
      </w:sdtPr>
      <w:sdtEndPr>
        <w:rPr>
          <w:noProof/>
        </w:rPr>
      </w:sdtEndPr>
      <w:sdtContent>
        <w:r w:rsidRPr="00A51237">
          <w:fldChar w:fldCharType="begin"/>
        </w:r>
        <w:r w:rsidRPr="00A51237">
          <w:instrText xml:space="preserve"> PAGE   \* MERGEFORMAT </w:instrText>
        </w:r>
        <w:r w:rsidRPr="00A51237">
          <w:fldChar w:fldCharType="separate"/>
        </w:r>
        <w:r>
          <w:rPr>
            <w:noProof/>
          </w:rPr>
          <w:t>1</w:t>
        </w:r>
        <w:r w:rsidRPr="00A51237">
          <w:rPr>
            <w:noProof/>
          </w:rPr>
          <w:fldChar w:fldCharType="end"/>
        </w:r>
      </w:sdtContent>
    </w:sdt>
  </w:p>
  <w:p w:rsidR="00B24020" w:rsidRPr="003708A7" w:rsidRDefault="000D14F8">
    <w:pP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p w:rsidR="00B24020" w:rsidRDefault="00B240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F8" w:rsidRDefault="000D14F8" w:rsidP="00696887">
      <w:r>
        <w:separator/>
      </w:r>
    </w:p>
  </w:footnote>
  <w:footnote w:type="continuationSeparator" w:id="0">
    <w:p w:rsidR="000D14F8" w:rsidRDefault="000D14F8" w:rsidP="0069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00"/>
    <w:rsid w:val="00041DA6"/>
    <w:rsid w:val="00091CB3"/>
    <w:rsid w:val="000D14F8"/>
    <w:rsid w:val="001A0C29"/>
    <w:rsid w:val="001E413A"/>
    <w:rsid w:val="00226EC8"/>
    <w:rsid w:val="00361E4B"/>
    <w:rsid w:val="004E1ECB"/>
    <w:rsid w:val="00546F5A"/>
    <w:rsid w:val="00660EF0"/>
    <w:rsid w:val="00696887"/>
    <w:rsid w:val="007838A0"/>
    <w:rsid w:val="00816A00"/>
    <w:rsid w:val="00857357"/>
    <w:rsid w:val="008A06E3"/>
    <w:rsid w:val="009C1746"/>
    <w:rsid w:val="00A20889"/>
    <w:rsid w:val="00B24020"/>
    <w:rsid w:val="00ED6D36"/>
    <w:rsid w:val="00F303A3"/>
    <w:rsid w:val="00FB3DFA"/>
    <w:rsid w:val="00FF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B655"/>
  <w15:docId w15:val="{66E98595-422F-4FF3-8788-2C3534D5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00"/>
    <w:pPr>
      <w:spacing w:after="0" w:line="240" w:lineRule="auto"/>
    </w:pPr>
    <w:rPr>
      <w:rFonts w:ascii="Arial" w:eastAsia="Times New Roman" w:hAnsi="Arial" w:cs="Times New Roman"/>
      <w:sz w:val="24"/>
      <w:szCs w:val="24"/>
      <w:lang w:val="en-US"/>
    </w:rPr>
  </w:style>
  <w:style w:type="paragraph" w:styleId="Heading1">
    <w:name w:val="heading 1"/>
    <w:aliases w:val="Heading 1 Char Char Char Char Char Char"/>
    <w:basedOn w:val="Normal"/>
    <w:next w:val="Normal"/>
    <w:link w:val="Heading1Char"/>
    <w:uiPriority w:val="9"/>
    <w:qFormat/>
    <w:rsid w:val="00816A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816A00"/>
    <w:rPr>
      <w:rFonts w:asciiTheme="majorHAnsi" w:eastAsiaTheme="majorEastAsia" w:hAnsiTheme="majorHAnsi" w:cstheme="majorBidi"/>
      <w:color w:val="2F5496" w:themeColor="accent1" w:themeShade="BF"/>
      <w:sz w:val="32"/>
      <w:szCs w:val="32"/>
      <w:lang w:val="en-US"/>
    </w:rPr>
  </w:style>
  <w:style w:type="character" w:styleId="Hyperlink">
    <w:name w:val="Hyperlink"/>
    <w:aliases w:val="TOC ADB"/>
    <w:uiPriority w:val="99"/>
    <w:qFormat/>
    <w:rsid w:val="00816A00"/>
    <w:rPr>
      <w:color w:val="0000FF"/>
      <w:u w:val="single"/>
    </w:rPr>
  </w:style>
  <w:style w:type="paragraph" w:customStyle="1" w:styleId="BankNormal">
    <w:name w:val="BankNormal"/>
    <w:basedOn w:val="Normal"/>
    <w:rsid w:val="00816A00"/>
    <w:pPr>
      <w:spacing w:after="240"/>
    </w:pPr>
    <w:rPr>
      <w:szCs w:val="20"/>
    </w:rPr>
  </w:style>
  <w:style w:type="paragraph" w:styleId="Header">
    <w:name w:val="header"/>
    <w:basedOn w:val="Normal"/>
    <w:link w:val="HeaderChar"/>
    <w:qFormat/>
    <w:rsid w:val="00816A00"/>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816A00"/>
    <w:rPr>
      <w:rFonts w:ascii="Arial" w:eastAsia="Times New Roman" w:hAnsi="Arial" w:cs="Times New Roman"/>
      <w:sz w:val="20"/>
      <w:szCs w:val="20"/>
      <w:lang w:val="en-US"/>
    </w:rPr>
  </w:style>
  <w:style w:type="paragraph" w:styleId="NoSpacing">
    <w:name w:val="No Spacing"/>
    <w:link w:val="NoSpacingChar"/>
    <w:uiPriority w:val="1"/>
    <w:qFormat/>
    <w:rsid w:val="00816A00"/>
    <w:pPr>
      <w:spacing w:after="0" w:line="240" w:lineRule="auto"/>
    </w:pPr>
    <w:rPr>
      <w:rFonts w:ascii="Times New Roman" w:eastAsia="Times New Roman" w:hAnsi="Times New Roman" w:cs="Times New Roman"/>
      <w:sz w:val="24"/>
      <w:szCs w:val="24"/>
      <w:lang w:val="en-US"/>
    </w:rPr>
  </w:style>
  <w:style w:type="paragraph" w:styleId="TOC1">
    <w:name w:val="toc 1"/>
    <w:basedOn w:val="Normal"/>
    <w:uiPriority w:val="39"/>
    <w:qFormat/>
    <w:rsid w:val="00816A00"/>
    <w:pPr>
      <w:spacing w:before="360" w:after="360"/>
    </w:pPr>
    <w:rPr>
      <w:rFonts w:cstheme="minorHAnsi"/>
      <w:b/>
      <w:bCs/>
      <w:szCs w:val="22"/>
    </w:rPr>
  </w:style>
  <w:style w:type="paragraph" w:customStyle="1" w:styleId="SectionHeading">
    <w:name w:val="Section Heading"/>
    <w:basedOn w:val="Heading1"/>
    <w:qFormat/>
    <w:rsid w:val="00816A00"/>
    <w:pPr>
      <w:tabs>
        <w:tab w:val="left" w:pos="0"/>
      </w:tabs>
      <w:spacing w:before="120"/>
      <w:jc w:val="center"/>
    </w:pPr>
    <w:rPr>
      <w:rFonts w:asciiTheme="minorBidi" w:hAnsiTheme="minorBidi" w:cstheme="minorBidi"/>
      <w:b/>
      <w:bCs/>
      <w:color w:val="000000" w:themeColor="text1"/>
    </w:rPr>
  </w:style>
  <w:style w:type="character" w:customStyle="1" w:styleId="NoSpacingChar">
    <w:name w:val="No Spacing Char"/>
    <w:basedOn w:val="DefaultParagraphFont"/>
    <w:link w:val="NoSpacing"/>
    <w:uiPriority w:val="1"/>
    <w:rsid w:val="00816A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96887"/>
    <w:pPr>
      <w:tabs>
        <w:tab w:val="center" w:pos="4680"/>
        <w:tab w:val="right" w:pos="9360"/>
      </w:tabs>
    </w:pPr>
  </w:style>
  <w:style w:type="character" w:customStyle="1" w:styleId="FooterChar">
    <w:name w:val="Footer Char"/>
    <w:basedOn w:val="DefaultParagraphFont"/>
    <w:link w:val="Footer"/>
    <w:uiPriority w:val="99"/>
    <w:rsid w:val="00696887"/>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neps.go.t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neps.go.tz" TargetMode="External"/><Relationship Id="rId4" Type="http://schemas.openxmlformats.org/officeDocument/2006/relationships/webSettings" Target="webSettings.xml"/><Relationship Id="rId9" Type="http://schemas.openxmlformats.org/officeDocument/2006/relationships/hyperlink" Target="http://www.ifad.org/project-procur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5340-CC6A-489A-89C3-15D2DC92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3998</Characters>
  <Application>Microsoft Office Word</Application>
  <DocSecurity>0</DocSecurity>
  <Lines>114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 STAFF</dc:creator>
  <cp:keywords/>
  <dc:description/>
  <cp:lastModifiedBy>User</cp:lastModifiedBy>
  <cp:revision>2</cp:revision>
  <cp:lastPrinted>2023-01-25T07:51:00Z</cp:lastPrinted>
  <dcterms:created xsi:type="dcterms:W3CDTF">2023-01-26T14:09:00Z</dcterms:created>
  <dcterms:modified xsi:type="dcterms:W3CDTF">2023-01-26T14:09:00Z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7976f22291dd6f7f41e76740420d61efbec115442ae2401ee4250365790b7650</vt:lpwstr>
  </property>
</Properties>
</file>